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16599">
      <w:pPr>
        <w:widowControl/>
        <w:shd w:val="clear" w:color="auto" w:fill="FFFFFF"/>
        <w:spacing w:line="600" w:lineRule="atLeast"/>
        <w:jc w:val="center"/>
        <w:rPr>
          <w:rFonts w:ascii="方正小标宋简体" w:hAnsi="微软雅黑" w:eastAsia="方正小标宋简体" w:cs="宋体"/>
          <w:b/>
          <w:bCs/>
          <w:color w:val="3D3D3D"/>
          <w:kern w:val="0"/>
          <w:sz w:val="44"/>
          <w:szCs w:val="44"/>
        </w:rPr>
      </w:pPr>
      <w:r>
        <w:rPr>
          <w:rFonts w:hint="eastAsia" w:ascii="方正小标宋简体" w:hAnsi="微软雅黑" w:eastAsia="方正小标宋简体" w:cs="宋体"/>
          <w:b/>
          <w:bCs/>
          <w:color w:val="3D3D3D"/>
          <w:kern w:val="0"/>
          <w:sz w:val="44"/>
          <w:szCs w:val="44"/>
        </w:rPr>
        <w:t>潍坊环境工程职业学院202</w:t>
      </w:r>
      <w:r>
        <w:rPr>
          <w:rFonts w:hint="eastAsia" w:ascii="方正小标宋简体" w:hAnsi="微软雅黑" w:eastAsia="方正小标宋简体" w:cs="宋体"/>
          <w:b/>
          <w:bCs/>
          <w:color w:val="3D3D3D"/>
          <w:kern w:val="0"/>
          <w:sz w:val="44"/>
          <w:szCs w:val="44"/>
          <w:lang w:val="en-US" w:eastAsia="zh-CN"/>
        </w:rPr>
        <w:t>3</w:t>
      </w:r>
      <w:r>
        <w:rPr>
          <w:rFonts w:hint="eastAsia" w:ascii="方正小标宋简体" w:hAnsi="微软雅黑" w:eastAsia="方正小标宋简体" w:cs="宋体"/>
          <w:b/>
          <w:bCs/>
          <w:color w:val="3D3D3D"/>
          <w:kern w:val="0"/>
          <w:sz w:val="44"/>
          <w:szCs w:val="44"/>
        </w:rPr>
        <w:t>-202</w:t>
      </w:r>
      <w:r>
        <w:rPr>
          <w:rFonts w:hint="eastAsia" w:ascii="方正小标宋简体" w:hAnsi="微软雅黑" w:eastAsia="方正小标宋简体" w:cs="宋体"/>
          <w:b/>
          <w:bCs/>
          <w:color w:val="3D3D3D"/>
          <w:kern w:val="0"/>
          <w:sz w:val="44"/>
          <w:szCs w:val="44"/>
          <w:lang w:val="en-US" w:eastAsia="zh-CN"/>
        </w:rPr>
        <w:t>4</w:t>
      </w:r>
      <w:r>
        <w:rPr>
          <w:rFonts w:hint="eastAsia" w:ascii="方正小标宋简体" w:hAnsi="微软雅黑" w:eastAsia="方正小标宋简体" w:cs="宋体"/>
          <w:b/>
          <w:bCs/>
          <w:color w:val="3D3D3D"/>
          <w:kern w:val="0"/>
          <w:sz w:val="44"/>
          <w:szCs w:val="44"/>
        </w:rPr>
        <w:t>学年度信息公开工作报告</w:t>
      </w:r>
    </w:p>
    <w:p w14:paraId="40F576BC">
      <w:pPr>
        <w:widowControl/>
        <w:shd w:val="clear" w:color="auto" w:fill="FFFFFF"/>
        <w:spacing w:line="360" w:lineRule="atLeast"/>
        <w:ind w:firstLine="480"/>
        <w:jc w:val="lef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根据教育部《高等学校信息公开办法》和山东省教育厅要求，结合工作实际，编制形成潍坊环境工程职业学院 202</w:t>
      </w:r>
      <w:r>
        <w:rPr>
          <w:rFonts w:hint="eastAsia" w:ascii="仿宋_GB2312" w:hAnsi="宋体" w:eastAsia="仿宋_GB2312" w:cs="宋体"/>
          <w:color w:val="333333"/>
          <w:kern w:val="0"/>
          <w:sz w:val="32"/>
          <w:szCs w:val="32"/>
          <w:lang w:val="en-US" w:eastAsia="zh-CN"/>
        </w:rPr>
        <w:t>3</w:t>
      </w:r>
      <w:r>
        <w:rPr>
          <w:rFonts w:hint="eastAsia" w:ascii="仿宋_GB2312" w:hAnsi="宋体" w:eastAsia="仿宋_GB2312" w:cs="宋体"/>
          <w:color w:val="333333"/>
          <w:kern w:val="0"/>
          <w:sz w:val="32"/>
          <w:szCs w:val="32"/>
        </w:rPr>
        <w:t>—202</w:t>
      </w:r>
      <w:r>
        <w:rPr>
          <w:rFonts w:hint="eastAsia" w:ascii="仿宋_GB2312" w:hAnsi="宋体" w:eastAsia="仿宋_GB2312" w:cs="宋体"/>
          <w:color w:val="333333"/>
          <w:kern w:val="0"/>
          <w:sz w:val="32"/>
          <w:szCs w:val="32"/>
          <w:lang w:val="en-US" w:eastAsia="zh-CN"/>
        </w:rPr>
        <w:t>4</w:t>
      </w:r>
      <w:r>
        <w:rPr>
          <w:rFonts w:hint="eastAsia" w:ascii="仿宋_GB2312" w:hAnsi="宋体" w:eastAsia="仿宋_GB2312" w:cs="宋体"/>
          <w:color w:val="333333"/>
          <w:kern w:val="0"/>
          <w:sz w:val="32"/>
          <w:szCs w:val="32"/>
        </w:rPr>
        <w:t>学年度信息公开工作报告。本报告中所列数据的统计期限自 202</w:t>
      </w:r>
      <w:r>
        <w:rPr>
          <w:rFonts w:hint="eastAsia" w:ascii="仿宋_GB2312" w:hAnsi="宋体" w:eastAsia="仿宋_GB2312" w:cs="宋体"/>
          <w:color w:val="333333"/>
          <w:kern w:val="0"/>
          <w:sz w:val="32"/>
          <w:szCs w:val="32"/>
          <w:lang w:val="en-US" w:eastAsia="zh-CN"/>
        </w:rPr>
        <w:t>3</w:t>
      </w:r>
      <w:r>
        <w:rPr>
          <w:rFonts w:hint="eastAsia" w:ascii="仿宋_GB2312" w:hAnsi="宋体" w:eastAsia="仿宋_GB2312" w:cs="宋体"/>
          <w:color w:val="333333"/>
          <w:kern w:val="0"/>
          <w:sz w:val="32"/>
          <w:szCs w:val="32"/>
        </w:rPr>
        <w:t>年9月1日起至 202</w:t>
      </w:r>
      <w:r>
        <w:rPr>
          <w:rFonts w:hint="eastAsia" w:ascii="仿宋_GB2312" w:hAnsi="宋体" w:eastAsia="仿宋_GB2312" w:cs="宋体"/>
          <w:color w:val="333333"/>
          <w:kern w:val="0"/>
          <w:sz w:val="32"/>
          <w:szCs w:val="32"/>
          <w:lang w:val="en-US" w:eastAsia="zh-CN"/>
        </w:rPr>
        <w:t>4</w:t>
      </w:r>
      <w:r>
        <w:rPr>
          <w:rFonts w:hint="eastAsia" w:ascii="仿宋_GB2312" w:hAnsi="宋体" w:eastAsia="仿宋_GB2312" w:cs="宋体"/>
          <w:color w:val="333333"/>
          <w:kern w:val="0"/>
          <w:sz w:val="32"/>
          <w:szCs w:val="32"/>
        </w:rPr>
        <w:t>年8月31日止。</w:t>
      </w:r>
    </w:p>
    <w:p w14:paraId="339F3589">
      <w:pPr>
        <w:widowControl/>
        <w:shd w:val="clear" w:color="auto" w:fill="FFFFFF"/>
        <w:spacing w:line="360" w:lineRule="atLeast"/>
        <w:ind w:firstLine="480"/>
        <w:jc w:val="left"/>
        <w:rPr>
          <w:rFonts w:ascii="黑体" w:hAnsi="黑体" w:eastAsia="黑体" w:cs="宋体"/>
          <w:color w:val="333333"/>
          <w:kern w:val="0"/>
          <w:sz w:val="32"/>
          <w:szCs w:val="32"/>
        </w:rPr>
      </w:pPr>
      <w:r>
        <w:rPr>
          <w:rFonts w:hint="eastAsia" w:ascii="黑体" w:hAnsi="黑体" w:eastAsia="黑体" w:cs="宋体"/>
          <w:color w:val="333333"/>
          <w:kern w:val="0"/>
          <w:sz w:val="32"/>
          <w:szCs w:val="32"/>
        </w:rPr>
        <w:t>一、加强组织领导，工作机构健全</w:t>
      </w:r>
    </w:p>
    <w:p w14:paraId="46A3EB36">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宋体" w:eastAsia="仿宋_GB2312" w:cs="宋体"/>
          <w:color w:val="333333"/>
          <w:kern w:val="0"/>
          <w:sz w:val="32"/>
          <w:szCs w:val="32"/>
        </w:rPr>
        <w:t>学校党委高度重视信息公开工作，切实把实行信息公开作为一项重要任务，列入议事日程，按照服务大局、促进发展，积极稳妥、注重实效，区别情况、分类指导，统筹兼顾、改革创新的原则，积极探索和丰富信息公开工作的途径和方式，注重科学安排，规范操作，有序推进，努力做到认识到位、领导到位、措施到位、落实到位，有效推进了信息公开工作。</w:t>
      </w:r>
    </w:p>
    <w:p w14:paraId="7BB7F4F3">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宋体" w:eastAsia="仿宋_GB2312" w:cs="宋体"/>
          <w:color w:val="333333"/>
          <w:kern w:val="0"/>
          <w:sz w:val="32"/>
          <w:szCs w:val="32"/>
        </w:rPr>
        <w:t>学校定期进行信息公开调度工作，制定并执行《潍坊环境工程职业学院信息公开管理办法》，督促各部门、学院规范信息公开工作，要求认真学习、准确把握上级文件精神和有关要求，切实提高对信息公开工作重要性的认识，牢固树立法制观念，科学编制信息目录，完善信息公开内容，规范信息公开程序，做到及时、规范、有序地向社会公开学校相关信息，有效保证了社会和师生员工的知情权、参与权和监督权，信息公开成效不断提高。</w:t>
      </w:r>
    </w:p>
    <w:p w14:paraId="7CE3DED3">
      <w:pPr>
        <w:widowControl/>
        <w:shd w:val="clear" w:color="auto" w:fill="FFFFFF"/>
        <w:spacing w:line="360" w:lineRule="atLeast"/>
        <w:ind w:firstLine="480"/>
        <w:jc w:val="left"/>
        <w:rPr>
          <w:rFonts w:ascii="黑体" w:hAnsi="黑体" w:eastAsia="黑体" w:cs="宋体"/>
          <w:color w:val="333333"/>
          <w:kern w:val="0"/>
          <w:sz w:val="32"/>
          <w:szCs w:val="32"/>
        </w:rPr>
      </w:pPr>
      <w:r>
        <w:rPr>
          <w:rFonts w:hint="eastAsia" w:ascii="黑体" w:hAnsi="黑体" w:eastAsia="黑体" w:cs="宋体"/>
          <w:color w:val="333333"/>
          <w:kern w:val="0"/>
          <w:sz w:val="32"/>
          <w:szCs w:val="32"/>
        </w:rPr>
        <w:t>二、主动公开情况</w:t>
      </w:r>
    </w:p>
    <w:p w14:paraId="2C0B716C">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楷体_GB2312" w:hAnsi="微软雅黑" w:eastAsia="楷体_GB2312" w:cs="宋体"/>
          <w:color w:val="333333"/>
          <w:kern w:val="0"/>
          <w:sz w:val="32"/>
          <w:szCs w:val="32"/>
        </w:rPr>
        <w:t>（一）主动公开信息数量</w:t>
      </w:r>
      <w:r>
        <w:rPr>
          <w:rFonts w:hint="eastAsia" w:ascii="仿宋_GB2312" w:hAnsi="微软雅黑" w:eastAsia="仿宋_GB2312" w:cs="宋体"/>
          <w:color w:val="333333"/>
          <w:kern w:val="0"/>
          <w:sz w:val="32"/>
          <w:szCs w:val="32"/>
        </w:rPr>
        <w:t>。2023—2024学年，学校网站主页及信息门户共发布151条，微信公众号客户端共发布238条，抖音APP共发布136条，微信视频号共发布71条，山东教育发布客户端共发布83条，政务号客户端共发布112条，在校外媒体共发布28条。</w:t>
      </w:r>
      <w:bookmarkStart w:id="0" w:name="_GoBack"/>
      <w:bookmarkEnd w:id="0"/>
    </w:p>
    <w:p w14:paraId="1B1E8C2A">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召开党委会</w:t>
      </w:r>
      <w:r>
        <w:rPr>
          <w:rFonts w:hint="eastAsia" w:ascii="仿宋_GB2312" w:hAnsi="微软雅黑" w:eastAsia="仿宋_GB2312" w:cs="宋体"/>
          <w:color w:val="333333"/>
          <w:kern w:val="0"/>
          <w:sz w:val="32"/>
          <w:szCs w:val="32"/>
          <w:lang w:val="en-US" w:eastAsia="zh-CN"/>
        </w:rPr>
        <w:t>19</w:t>
      </w:r>
      <w:r>
        <w:rPr>
          <w:rFonts w:hint="eastAsia" w:ascii="仿宋_GB2312" w:hAnsi="微软雅黑" w:eastAsia="仿宋_GB2312" w:cs="宋体"/>
          <w:color w:val="333333"/>
          <w:kern w:val="0"/>
          <w:sz w:val="32"/>
          <w:szCs w:val="32"/>
        </w:rPr>
        <w:t>次，校长办公会</w:t>
      </w:r>
      <w:r>
        <w:rPr>
          <w:rFonts w:hint="eastAsia" w:ascii="仿宋_GB2312" w:hAnsi="微软雅黑" w:eastAsia="仿宋_GB2312" w:cs="宋体"/>
          <w:color w:val="333333"/>
          <w:kern w:val="0"/>
          <w:sz w:val="32"/>
          <w:szCs w:val="32"/>
          <w:lang w:val="en-US" w:eastAsia="zh-CN"/>
        </w:rPr>
        <w:t>5</w:t>
      </w:r>
      <w:r>
        <w:rPr>
          <w:rFonts w:hint="eastAsia" w:ascii="仿宋_GB2312" w:hAnsi="微软雅黑" w:eastAsia="仿宋_GB2312" w:cs="宋体"/>
          <w:color w:val="333333"/>
          <w:kern w:val="0"/>
          <w:sz w:val="32"/>
          <w:szCs w:val="32"/>
        </w:rPr>
        <w:t>1次，专题会议</w:t>
      </w:r>
      <w:r>
        <w:rPr>
          <w:rFonts w:hint="eastAsia" w:ascii="仿宋_GB2312" w:hAnsi="微软雅黑" w:eastAsia="仿宋_GB2312" w:cs="宋体"/>
          <w:color w:val="333333"/>
          <w:kern w:val="0"/>
          <w:sz w:val="32"/>
          <w:szCs w:val="32"/>
          <w:lang w:val="en-US" w:eastAsia="zh-CN"/>
        </w:rPr>
        <w:t>112</w:t>
      </w:r>
      <w:r>
        <w:rPr>
          <w:rFonts w:hint="eastAsia" w:ascii="仿宋_GB2312" w:hAnsi="微软雅黑" w:eastAsia="仿宋_GB2312" w:cs="宋体"/>
          <w:color w:val="333333"/>
          <w:kern w:val="0"/>
          <w:sz w:val="32"/>
          <w:szCs w:val="32"/>
        </w:rPr>
        <w:t>次，各层面座谈会</w:t>
      </w:r>
      <w:r>
        <w:rPr>
          <w:rFonts w:hint="eastAsia" w:ascii="仿宋_GB2312" w:hAnsi="微软雅黑" w:eastAsia="仿宋_GB2312" w:cs="宋体"/>
          <w:color w:val="333333"/>
          <w:kern w:val="0"/>
          <w:sz w:val="32"/>
          <w:szCs w:val="32"/>
          <w:lang w:val="en-US" w:eastAsia="zh-CN"/>
        </w:rPr>
        <w:t>126</w:t>
      </w:r>
      <w:r>
        <w:rPr>
          <w:rFonts w:hint="eastAsia" w:ascii="仿宋_GB2312" w:hAnsi="微软雅黑" w:eastAsia="仿宋_GB2312" w:cs="宋体"/>
          <w:color w:val="333333"/>
          <w:kern w:val="0"/>
          <w:sz w:val="32"/>
          <w:szCs w:val="32"/>
        </w:rPr>
        <w:t>余次，收集处理教职工各类提案和意见建议</w:t>
      </w:r>
      <w:r>
        <w:rPr>
          <w:rFonts w:hint="eastAsia" w:ascii="仿宋_GB2312" w:hAnsi="微软雅黑" w:eastAsia="仿宋_GB2312" w:cs="宋体"/>
          <w:color w:val="333333"/>
          <w:kern w:val="0"/>
          <w:sz w:val="32"/>
          <w:szCs w:val="32"/>
          <w:lang w:val="en-US" w:eastAsia="zh-CN"/>
        </w:rPr>
        <w:t>76份</w:t>
      </w:r>
      <w:r>
        <w:rPr>
          <w:rFonts w:hint="eastAsia" w:ascii="仿宋_GB2312" w:hAnsi="微软雅黑" w:eastAsia="仿宋_GB2312" w:cs="宋体"/>
          <w:color w:val="333333"/>
          <w:kern w:val="0"/>
          <w:sz w:val="32"/>
          <w:szCs w:val="32"/>
        </w:rPr>
        <w:t>，通过校长信箱等渠道处理答复各类问题</w:t>
      </w:r>
      <w:r>
        <w:rPr>
          <w:rFonts w:hint="eastAsia" w:ascii="仿宋_GB2312" w:hAnsi="微软雅黑" w:eastAsia="仿宋_GB2312" w:cs="宋体"/>
          <w:color w:val="333333"/>
          <w:kern w:val="0"/>
          <w:sz w:val="32"/>
          <w:szCs w:val="32"/>
          <w:lang w:val="en-US" w:eastAsia="zh-CN"/>
        </w:rPr>
        <w:t>212</w:t>
      </w:r>
      <w:r>
        <w:rPr>
          <w:rFonts w:hint="eastAsia" w:ascii="仿宋_GB2312" w:hAnsi="微软雅黑" w:eastAsia="仿宋_GB2312" w:cs="宋体"/>
          <w:color w:val="333333"/>
          <w:kern w:val="0"/>
          <w:sz w:val="32"/>
          <w:szCs w:val="32"/>
        </w:rPr>
        <w:t>件。</w:t>
      </w:r>
    </w:p>
    <w:p w14:paraId="10695B72">
      <w:pPr>
        <w:widowControl/>
        <w:shd w:val="clear" w:color="auto" w:fill="FFFFFF"/>
        <w:spacing w:line="360" w:lineRule="atLeast"/>
        <w:ind w:firstLine="480"/>
        <w:jc w:val="left"/>
        <w:rPr>
          <w:rFonts w:ascii="楷体_GB2312" w:hAnsi="微软雅黑" w:eastAsia="楷体_GB2312" w:cs="宋体"/>
          <w:color w:val="333333"/>
          <w:kern w:val="0"/>
          <w:sz w:val="32"/>
          <w:szCs w:val="32"/>
        </w:rPr>
      </w:pPr>
      <w:r>
        <w:rPr>
          <w:rFonts w:hint="eastAsia" w:ascii="楷体_GB2312" w:hAnsi="微软雅黑" w:eastAsia="楷体_GB2312" w:cs="宋体"/>
          <w:color w:val="333333"/>
          <w:kern w:val="0"/>
          <w:sz w:val="32"/>
          <w:szCs w:val="32"/>
        </w:rPr>
        <w:t>（二）主动公开信息内容</w:t>
      </w:r>
    </w:p>
    <w:p w14:paraId="63CBA5CD">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1.学校基本情况的信息。包括办学规模、校级领导班子、机构设置，各类规章制度、发展规划、工作报告、工作计划、年度信息公开报告等办学基本情况。</w:t>
      </w:r>
    </w:p>
    <w:p w14:paraId="0F34B6F3">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2.招生考试信息。包括中高职招生章程、招生计划、录取人数和录取分数线，录取信息查询渠道和办法，招生咨询及考生申诉渠道等。</w:t>
      </w:r>
    </w:p>
    <w:p w14:paraId="118D184C">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3.财务、资产及收费信息。包括财务、资产管理制度，受捐赠财产的使用与管理情况，物资设备采购和重大基建工程的招投标情况，202</w:t>
      </w:r>
      <w:r>
        <w:rPr>
          <w:rFonts w:hint="eastAsia" w:ascii="仿宋_GB2312" w:hAnsi="微软雅黑" w:eastAsia="仿宋_GB2312" w:cs="宋体"/>
          <w:color w:val="333333"/>
          <w:kern w:val="0"/>
          <w:sz w:val="32"/>
          <w:szCs w:val="32"/>
          <w:lang w:val="en-US" w:eastAsia="zh-CN"/>
        </w:rPr>
        <w:t>4</w:t>
      </w:r>
      <w:r>
        <w:rPr>
          <w:rFonts w:hint="eastAsia" w:ascii="仿宋_GB2312" w:hAnsi="微软雅黑" w:eastAsia="仿宋_GB2312" w:cs="宋体"/>
          <w:color w:val="333333"/>
          <w:kern w:val="0"/>
          <w:sz w:val="32"/>
          <w:szCs w:val="32"/>
        </w:rPr>
        <w:t>年财务预算和 202</w:t>
      </w:r>
      <w:r>
        <w:rPr>
          <w:rFonts w:hint="eastAsia" w:ascii="仿宋_GB2312" w:hAnsi="微软雅黑" w:eastAsia="仿宋_GB2312" w:cs="宋体"/>
          <w:color w:val="333333"/>
          <w:kern w:val="0"/>
          <w:sz w:val="32"/>
          <w:szCs w:val="32"/>
          <w:lang w:val="en-US" w:eastAsia="zh-CN"/>
        </w:rPr>
        <w:t>3</w:t>
      </w:r>
      <w:r>
        <w:rPr>
          <w:rFonts w:hint="eastAsia" w:ascii="仿宋_GB2312" w:hAnsi="微软雅黑" w:eastAsia="仿宋_GB2312" w:cs="宋体"/>
          <w:color w:val="333333"/>
          <w:kern w:val="0"/>
          <w:sz w:val="32"/>
          <w:szCs w:val="32"/>
        </w:rPr>
        <w:t xml:space="preserve"> 年财务决算情况，各类收费项目、收费依据、收费标准及投诉方式等。</w:t>
      </w:r>
    </w:p>
    <w:p w14:paraId="6CBCBC4A">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4.人事师资信息。包括教师和其他专业技术人员数量，干部任免、人员招聘情况，专业技术职务等级评定情况，岗位设置管理与聘用办法，教职工培训情况，领导干部社会兼职和因公出国情况，争议解决办法等。</w:t>
      </w:r>
    </w:p>
    <w:p w14:paraId="58C3FF9E">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5.教学质量信息。包括在校生数量及比例，配备教师数量及结构，专业设置情况，课程设置情况，教授授课比例，教研项目、成果的申报与评选，教学质量年度报告等。</w:t>
      </w:r>
    </w:p>
    <w:p w14:paraId="75DBAF0C">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6.学生管理服务及学风建设信息。学生奖学金、助学金、学费减免、助学贷款、勤工俭学的申请与管理规定，学籍管理办法，学生奖励处罚办法，学生申诉办法，学风建设情况，学术规范制度等。</w:t>
      </w:r>
    </w:p>
    <w:p w14:paraId="728C5C96">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7.公共资源信息。学校教室、实验室、公用房、教学资源、大型仪器设备等公共资源信息与图书藏量。</w:t>
      </w:r>
    </w:p>
    <w:p w14:paraId="08E78656">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8.对外交流与合作信息。对外交流与合作情况，中外合作办学情况等。</w:t>
      </w:r>
    </w:p>
    <w:p w14:paraId="57789ACF">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9.其他相关信息。学校突发事件的应急预案、预警信息，涉及学校的重大事件的调查和处理情况，依照法律、法规和国家有关规定需要公开的其他信息。</w:t>
      </w:r>
    </w:p>
    <w:p w14:paraId="58FB9122">
      <w:pPr>
        <w:widowControl/>
        <w:shd w:val="clear" w:color="auto" w:fill="FFFFFF"/>
        <w:spacing w:line="360" w:lineRule="atLeast"/>
        <w:ind w:firstLine="480"/>
        <w:jc w:val="left"/>
        <w:rPr>
          <w:rFonts w:ascii="楷体_GB2312" w:hAnsi="黑体" w:eastAsia="楷体_GB2312" w:cs="宋体"/>
          <w:color w:val="333333"/>
          <w:kern w:val="0"/>
          <w:sz w:val="32"/>
          <w:szCs w:val="32"/>
        </w:rPr>
      </w:pPr>
      <w:r>
        <w:rPr>
          <w:rFonts w:hint="eastAsia" w:ascii="楷体_GB2312" w:hAnsi="黑体" w:eastAsia="楷体_GB2312" w:cs="宋体"/>
          <w:color w:val="333333"/>
          <w:kern w:val="0"/>
          <w:sz w:val="32"/>
          <w:szCs w:val="32"/>
        </w:rPr>
        <w:t>（三）保密情况</w:t>
      </w:r>
    </w:p>
    <w:p w14:paraId="2A47FBA9">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扎实推进依法治校，认真贯彻国家、省关于教育领域信息公开的有关部署，切实维护信息安全，保障校园和谐安全稳定。一是坚持“以公开为常态、不公开为例外”原则，对招生录取、财务收费、人员招聘、评奖推优、采购招标等涉及师生群众切身利益或社会关注度较高的信息加大公开公示力度，依照国家有关规定或者根据实际情况，对拟公开信息履行保密审查程序，未经批准不予公开。二是完善法律顾问机制，推进法律事务室平台建设，加强合同与相关文件的合法性审查，为校内提供广泛法律咨询，切实防范法律风险。三是增强保密工作研究部署，积极迎接上级主管部门调研指导，开展保密工作自查，严格履行保密措施，加强对涉密载体、保密资料和文件的管理，杜绝了泄密事件的发生。</w:t>
      </w:r>
    </w:p>
    <w:p w14:paraId="202E42E2">
      <w:pPr>
        <w:widowControl/>
        <w:shd w:val="clear" w:color="auto" w:fill="FFFFFF"/>
        <w:spacing w:line="360" w:lineRule="atLeast"/>
        <w:ind w:firstLine="480"/>
        <w:jc w:val="left"/>
        <w:rPr>
          <w:rFonts w:ascii="黑体" w:hAnsi="黑体" w:eastAsia="黑体" w:cs="宋体"/>
          <w:color w:val="333333"/>
          <w:kern w:val="0"/>
          <w:sz w:val="32"/>
          <w:szCs w:val="32"/>
        </w:rPr>
      </w:pPr>
      <w:r>
        <w:rPr>
          <w:rFonts w:hint="eastAsia" w:ascii="黑体" w:hAnsi="黑体" w:eastAsia="黑体" w:cs="宋体"/>
          <w:color w:val="333333"/>
          <w:kern w:val="0"/>
          <w:sz w:val="32"/>
          <w:szCs w:val="32"/>
        </w:rPr>
        <w:t>三、依申请公开和不予公开情况</w:t>
      </w:r>
    </w:p>
    <w:p w14:paraId="036815E0">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本学年度学校未收到需受理或答复的信息公开申请。涉及国家秘密、商业秘密和个人隐私的信息按相关规定不予公开。</w:t>
      </w:r>
    </w:p>
    <w:p w14:paraId="5454C639">
      <w:pPr>
        <w:widowControl/>
        <w:shd w:val="clear" w:color="auto" w:fill="FFFFFF"/>
        <w:spacing w:line="360" w:lineRule="atLeast"/>
        <w:ind w:firstLine="480"/>
        <w:jc w:val="left"/>
        <w:rPr>
          <w:rFonts w:ascii="黑体" w:hAnsi="黑体" w:eastAsia="黑体" w:cs="宋体"/>
          <w:color w:val="333333"/>
          <w:kern w:val="0"/>
          <w:sz w:val="32"/>
          <w:szCs w:val="32"/>
        </w:rPr>
      </w:pPr>
      <w:r>
        <w:rPr>
          <w:rFonts w:hint="eastAsia" w:ascii="黑体" w:hAnsi="黑体" w:eastAsia="黑体" w:cs="宋体"/>
          <w:color w:val="333333"/>
          <w:kern w:val="0"/>
          <w:sz w:val="32"/>
          <w:szCs w:val="32"/>
        </w:rPr>
        <w:t>四、对信息公开工作的评议情况</w:t>
      </w:r>
    </w:p>
    <w:p w14:paraId="06B25DA9">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本学年度，学校师生员工对信息公开工作给予较好的支持和肯定，师生员工和社会公众对学校能及时提供各种学校信息表示满意，评议良好。</w:t>
      </w:r>
    </w:p>
    <w:p w14:paraId="5A4E523B">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黑体" w:hAnsi="黑体" w:eastAsia="黑体" w:cs="宋体"/>
          <w:color w:val="333333"/>
          <w:kern w:val="0"/>
          <w:sz w:val="32"/>
          <w:szCs w:val="32"/>
        </w:rPr>
        <w:t>五、因学校信息公开工作受到举报、复议、诉讼的情况</w:t>
      </w:r>
      <w:r>
        <w:rPr>
          <w:rFonts w:hint="eastAsia" w:ascii="仿宋_GB2312" w:hAnsi="微软雅黑" w:eastAsia="仿宋_GB2312" w:cs="宋体"/>
          <w:color w:val="333333"/>
          <w:kern w:val="0"/>
          <w:sz w:val="32"/>
          <w:szCs w:val="32"/>
        </w:rPr>
        <w:t>本学年度，学校未出现因信息公开工作遭到举报、复议、诉讼的情况。</w:t>
      </w:r>
    </w:p>
    <w:p w14:paraId="64A217D8">
      <w:pPr>
        <w:widowControl/>
        <w:shd w:val="clear" w:color="auto" w:fill="FFFFFF"/>
        <w:spacing w:line="360" w:lineRule="atLeast"/>
        <w:ind w:firstLine="480"/>
        <w:jc w:val="left"/>
        <w:rPr>
          <w:rFonts w:ascii="黑体" w:hAnsi="黑体" w:eastAsia="黑体" w:cs="宋体"/>
          <w:color w:val="333333"/>
          <w:kern w:val="0"/>
          <w:sz w:val="32"/>
          <w:szCs w:val="32"/>
        </w:rPr>
      </w:pPr>
      <w:r>
        <w:rPr>
          <w:rFonts w:hint="eastAsia" w:ascii="黑体" w:hAnsi="黑体" w:eastAsia="黑体" w:cs="宋体"/>
          <w:color w:val="333333"/>
          <w:kern w:val="0"/>
          <w:sz w:val="32"/>
          <w:szCs w:val="32"/>
        </w:rPr>
        <w:t>六、存在问题与改进措施</w:t>
      </w:r>
    </w:p>
    <w:p w14:paraId="52E9F91B">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实施信息公开是一项系统工程，需进一步统筹协调，加强督查督办。目前，我校信息公开工作还有一些需要改进的问题，主要表现在：信息公开宣传、引导工作有待加强；信息主动公开目录和内容、渠道和方式需进一步拓展；信息公开机制不够健全，校内各单位信息公开责任分工、监督考核有待加强</w:t>
      </w:r>
      <w:r>
        <w:rPr>
          <w:rFonts w:hint="eastAsia" w:ascii="仿宋_GB2312" w:hAnsi="宋体" w:eastAsia="仿宋_GB2312" w:cs="宋体"/>
          <w:color w:val="333333"/>
          <w:kern w:val="0"/>
          <w:sz w:val="32"/>
          <w:szCs w:val="32"/>
        </w:rPr>
        <w:t>等等。</w:t>
      </w:r>
    </w:p>
    <w:p w14:paraId="44962195">
      <w:pPr>
        <w:widowControl/>
        <w:shd w:val="clear" w:color="auto" w:fill="FFFFFF"/>
        <w:spacing w:line="360" w:lineRule="atLeast"/>
        <w:ind w:firstLine="480"/>
        <w:jc w:val="left"/>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结合工作中存在的问题和不足，学校将进一步加大信息公开力度，重点从以下三个方面加强改进：</w:t>
      </w:r>
    </w:p>
    <w:p w14:paraId="10C5AD33">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宋体" w:eastAsia="仿宋_GB2312" w:cs="宋体"/>
          <w:color w:val="333333"/>
          <w:kern w:val="0"/>
          <w:sz w:val="32"/>
          <w:szCs w:val="32"/>
        </w:rPr>
        <w:t>一是不断深化公开意识。进一步加强信息公开教育培训工作，切实提高对信息公开工作重要性的认识，增强工作的主动性、自觉性，不断提高信息公开工作的质量和水平。进一步提升二级单位信息公开的主动性。完善二级单位信息公开工作机制，加强二级单位分管领导和联络人信息公开工作的指导和培训，提高信息主动公开意识，规范信息公开过程，做到信息实时发布、及时更新。</w:t>
      </w:r>
    </w:p>
    <w:p w14:paraId="26ED9867">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宋体" w:eastAsia="仿宋_GB2312" w:cs="宋体"/>
          <w:color w:val="333333"/>
          <w:kern w:val="0"/>
          <w:sz w:val="32"/>
          <w:szCs w:val="32"/>
        </w:rPr>
        <w:t>二是进一步规范公开内容。积极听取师生员工和社会各界的意见和建议，认真对照信息公开相关法规制度和《清单》，不断完善信息公开目录，细化信息公开内容，保障师生员工和社会各界的知情权和监督权。</w:t>
      </w:r>
    </w:p>
    <w:p w14:paraId="1D1E72AB">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宋体" w:eastAsia="仿宋_GB2312" w:cs="宋体"/>
          <w:color w:val="333333"/>
          <w:kern w:val="0"/>
          <w:sz w:val="32"/>
          <w:szCs w:val="32"/>
        </w:rPr>
        <w:t>三是进一步完善公开制度建设。既认真总结实践经验，又借鉴其他兄弟院校的成功经验和做法，结合学校工作实际，正确处理好信息公开与保守国家秘密的关系，进一步建立完善与信息公开相关的配套制度及长效运行机制，确保信息公开工作的制度化、规范化、程序化。</w:t>
      </w:r>
    </w:p>
    <w:p w14:paraId="4FA81C3F">
      <w:pPr>
        <w:widowControl/>
        <w:shd w:val="clear" w:color="auto" w:fill="FFFFFF"/>
        <w:spacing w:line="360" w:lineRule="atLeast"/>
        <w:ind w:firstLine="480"/>
        <w:jc w:val="left"/>
        <w:rPr>
          <w:rFonts w:ascii="仿宋_GB2312" w:hAnsi="微软雅黑" w:eastAsia="仿宋_GB2312" w:cs="宋体"/>
          <w:color w:val="333333"/>
          <w:kern w:val="0"/>
          <w:sz w:val="32"/>
          <w:szCs w:val="32"/>
        </w:rPr>
      </w:pPr>
      <w:r>
        <w:rPr>
          <w:rFonts w:hint="eastAsia" w:ascii="仿宋_GB2312" w:hAnsi="宋体" w:eastAsia="仿宋_GB2312" w:cs="宋体"/>
          <w:color w:val="333333"/>
          <w:kern w:val="0"/>
          <w:sz w:val="32"/>
          <w:szCs w:val="32"/>
        </w:rPr>
        <w:t>特此报告。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MTFhMzllNjYxNGI4ZmRhOGQwZTYxNDRlOTM1NDYifQ=="/>
  </w:docVars>
  <w:rsids>
    <w:rsidRoot w:val="001530E4"/>
    <w:rsid w:val="001530E4"/>
    <w:rsid w:val="001D18C5"/>
    <w:rsid w:val="00233E38"/>
    <w:rsid w:val="00260470"/>
    <w:rsid w:val="002D3557"/>
    <w:rsid w:val="00332732"/>
    <w:rsid w:val="00376EF3"/>
    <w:rsid w:val="004973F2"/>
    <w:rsid w:val="005D26E2"/>
    <w:rsid w:val="006604C7"/>
    <w:rsid w:val="006F6CEA"/>
    <w:rsid w:val="00871D08"/>
    <w:rsid w:val="008A19F8"/>
    <w:rsid w:val="008C3BAF"/>
    <w:rsid w:val="008D3B64"/>
    <w:rsid w:val="008D41D0"/>
    <w:rsid w:val="0091348C"/>
    <w:rsid w:val="00955E2D"/>
    <w:rsid w:val="00994D92"/>
    <w:rsid w:val="009B07F8"/>
    <w:rsid w:val="00A26630"/>
    <w:rsid w:val="00B465E8"/>
    <w:rsid w:val="00B63EED"/>
    <w:rsid w:val="00B96AAC"/>
    <w:rsid w:val="00C92D07"/>
    <w:rsid w:val="00CA7514"/>
    <w:rsid w:val="00E56342"/>
    <w:rsid w:val="00EC5126"/>
    <w:rsid w:val="00EF59B1"/>
    <w:rsid w:val="00F95047"/>
    <w:rsid w:val="00FE1628"/>
    <w:rsid w:val="083B282B"/>
    <w:rsid w:val="38DD3F57"/>
    <w:rsid w:val="40903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 w:type="character" w:customStyle="1" w:styleId="9">
    <w:name w:val="Subtle Reference"/>
    <w:basedOn w:val="6"/>
    <w:qFormat/>
    <w:uiPriority w:val="31"/>
    <w:rPr>
      <w:smallCaps/>
      <w:color w:val="C0504D" w:themeColor="accent2"/>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2375</Words>
  <Characters>2429</Characters>
  <Lines>17</Lines>
  <Paragraphs>4</Paragraphs>
  <TotalTime>5740</TotalTime>
  <ScaleCrop>false</ScaleCrop>
  <LinksUpToDate>false</LinksUpToDate>
  <CharactersWithSpaces>2439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2021-10-27T01:40:00Z</dcterms:created>
  <dc:creator>lenovo</dc:creator>
  <cp:lastModifiedBy>金满堂</cp:lastModifiedBy>
  <dcterms:modified xsi:type="dcterms:W3CDTF">2024-11-18T00:31:13Z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B5FAE89224D545E8965FB08C6BACB737_13</vt:lpwstr>
  </property>
</Properties>
</file>